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26708EC7" w:rsidR="00A2208A" w:rsidRPr="00037AB8" w:rsidRDefault="00F002EE" w:rsidP="00A2208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 xml:space="preserve">3GPP TSG RAN WG5 </w:t>
      </w:r>
      <w:r w:rsidR="006B5C72" w:rsidRPr="00037AB8">
        <w:rPr>
          <w:rFonts w:eastAsia="Malgun Gothic"/>
          <w:b/>
          <w:bCs/>
          <w:sz w:val="28"/>
        </w:rPr>
        <w:t>#</w:t>
      </w:r>
      <w:r w:rsidR="00997FE5">
        <w:rPr>
          <w:rFonts w:eastAsia="Malgun Gothic"/>
          <w:b/>
          <w:bCs/>
          <w:sz w:val="28"/>
        </w:rPr>
        <w:t>83 Meeting</w:t>
      </w:r>
      <w:r w:rsidR="00BC6E8D" w:rsidRPr="00037AB8">
        <w:rPr>
          <w:rFonts w:eastAsia="Malgun Gothic"/>
          <w:b/>
          <w:bCs/>
          <w:sz w:val="28"/>
        </w:rPr>
        <w:tab/>
      </w:r>
      <w:r w:rsidR="00A2208A" w:rsidRPr="00037AB8">
        <w:rPr>
          <w:rFonts w:eastAsia="Malgun Gothic"/>
          <w:b/>
          <w:bCs/>
          <w:sz w:val="28"/>
        </w:rPr>
        <w:t>R5-1</w:t>
      </w:r>
      <w:r w:rsidR="00C94B58" w:rsidRPr="00037AB8">
        <w:rPr>
          <w:rFonts w:eastAsia="Malgun Gothic"/>
          <w:b/>
          <w:bCs/>
          <w:sz w:val="28"/>
        </w:rPr>
        <w:t>9</w:t>
      </w:r>
      <w:r w:rsidR="00C9713E">
        <w:rPr>
          <w:rFonts w:eastAsia="Malgun Gothic"/>
          <w:b/>
          <w:bCs/>
          <w:sz w:val="28"/>
        </w:rPr>
        <w:t>4623</w:t>
      </w:r>
    </w:p>
    <w:p w14:paraId="4A54CA72" w14:textId="727C43EC" w:rsidR="00A2208A" w:rsidRPr="00037AB8" w:rsidRDefault="00997FE5"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009C4B66" w:rsidRPr="00037AB8">
        <w:rPr>
          <w:rFonts w:eastAsia="Malgun Gothic"/>
          <w:b/>
          <w:bCs/>
          <w:sz w:val="28"/>
          <w:lang w:eastAsia="ko-KR"/>
        </w:rPr>
        <w:t xml:space="preserve">, </w:t>
      </w:r>
      <w:r>
        <w:rPr>
          <w:rFonts w:eastAsia="Malgun Gothic"/>
          <w:b/>
          <w:bCs/>
          <w:sz w:val="28"/>
          <w:lang w:eastAsia="ko-KR"/>
        </w:rPr>
        <w:t>USA</w:t>
      </w:r>
      <w:r w:rsidR="009C4B66" w:rsidRPr="00037AB8">
        <w:rPr>
          <w:rFonts w:eastAsia="Malgun Gothic"/>
          <w:b/>
          <w:bCs/>
          <w:sz w:val="28"/>
          <w:lang w:eastAsia="ko-KR"/>
        </w:rPr>
        <w:t xml:space="preserve">, </w:t>
      </w:r>
      <w:r>
        <w:rPr>
          <w:rFonts w:eastAsia="Malgun Gothic"/>
          <w:b/>
          <w:bCs/>
          <w:sz w:val="28"/>
          <w:lang w:eastAsia="ko-KR"/>
        </w:rPr>
        <w:t>13</w:t>
      </w:r>
      <w:r w:rsidR="006B5C72" w:rsidRPr="00037AB8">
        <w:rPr>
          <w:rFonts w:eastAsia="Malgun Gothic"/>
          <w:b/>
          <w:bCs/>
          <w:sz w:val="28"/>
          <w:vertAlign w:val="superscript"/>
          <w:lang w:eastAsia="ko-KR"/>
        </w:rPr>
        <w:t>t</w:t>
      </w:r>
      <w:r w:rsidR="009C4B66" w:rsidRPr="00037AB8">
        <w:rPr>
          <w:rFonts w:eastAsia="Malgun Gothic"/>
          <w:b/>
          <w:bCs/>
          <w:sz w:val="28"/>
          <w:vertAlign w:val="superscript"/>
          <w:lang w:eastAsia="ko-KR"/>
        </w:rPr>
        <w:t>h</w:t>
      </w:r>
      <w:r w:rsidR="00725DCB" w:rsidRPr="00037AB8">
        <w:rPr>
          <w:rFonts w:eastAsia="Malgun Gothic"/>
          <w:b/>
          <w:bCs/>
          <w:sz w:val="28"/>
          <w:lang w:eastAsia="ko-KR"/>
        </w:rPr>
        <w:t xml:space="preserve"> </w:t>
      </w:r>
      <w:r w:rsidR="00670DF8" w:rsidRPr="00037AB8">
        <w:rPr>
          <w:rFonts w:eastAsia="Malgun Gothic"/>
          <w:b/>
          <w:bCs/>
          <w:sz w:val="28"/>
          <w:lang w:eastAsia="ko-KR"/>
        </w:rPr>
        <w:t>– 1</w:t>
      </w:r>
      <w:r>
        <w:rPr>
          <w:rFonts w:eastAsia="Malgun Gothic"/>
          <w:b/>
          <w:bCs/>
          <w:sz w:val="28"/>
          <w:lang w:eastAsia="ko-KR"/>
        </w:rPr>
        <w:t>7</w:t>
      </w:r>
      <w:r w:rsidR="00670DF8" w:rsidRPr="00037AB8">
        <w:rPr>
          <w:rFonts w:eastAsia="Malgun Gothic"/>
          <w:b/>
          <w:bCs/>
          <w:sz w:val="28"/>
          <w:vertAlign w:val="superscript"/>
          <w:lang w:eastAsia="ko-KR"/>
        </w:rPr>
        <w:t>th</w:t>
      </w:r>
      <w:r w:rsidR="00670DF8" w:rsidRPr="00037AB8">
        <w:rPr>
          <w:rFonts w:eastAsia="Malgun Gothic"/>
          <w:b/>
          <w:bCs/>
          <w:sz w:val="28"/>
          <w:lang w:eastAsia="ko-KR"/>
        </w:rPr>
        <w:t xml:space="preserve"> </w:t>
      </w:r>
      <w:r>
        <w:rPr>
          <w:rFonts w:eastAsia="Malgun Gothic"/>
          <w:b/>
          <w:bCs/>
          <w:sz w:val="28"/>
          <w:lang w:eastAsia="ko-KR"/>
        </w:rPr>
        <w:t>May</w:t>
      </w:r>
      <w:r w:rsidR="00670DF8" w:rsidRPr="00037AB8">
        <w:rPr>
          <w:rFonts w:eastAsia="Malgun Gothic"/>
          <w:b/>
          <w:bCs/>
          <w:sz w:val="28"/>
          <w:lang w:eastAsia="ko-KR"/>
        </w:rPr>
        <w:t xml:space="preserve"> </w:t>
      </w:r>
      <w:r w:rsidR="006B5C72" w:rsidRPr="00037AB8">
        <w:rPr>
          <w:rFonts w:eastAsia="Malgun Gothic"/>
          <w:b/>
          <w:bCs/>
          <w:sz w:val="28"/>
          <w:lang w:eastAsia="ko-KR"/>
        </w:rPr>
        <w:t>2019</w:t>
      </w:r>
    </w:p>
    <w:p w14:paraId="31E7553A" w14:textId="77777777" w:rsidR="00A2208A" w:rsidRPr="00037AB8" w:rsidRDefault="00A2208A" w:rsidP="00A2208A">
      <w:pPr>
        <w:rPr>
          <w:bCs/>
        </w:rPr>
      </w:pPr>
      <w:r w:rsidRPr="00037AB8">
        <w:rPr>
          <w:b/>
        </w:rPr>
        <w:t>Source:</w:t>
      </w:r>
      <w:r w:rsidRPr="00037AB8">
        <w:rPr>
          <w:b/>
        </w:rPr>
        <w:tab/>
      </w:r>
      <w:r w:rsidRPr="00037AB8">
        <w:rPr>
          <w:b/>
        </w:rPr>
        <w:tab/>
      </w:r>
      <w:r w:rsidRPr="00037AB8">
        <w:t>Rohde &amp; Schwarz</w:t>
      </w:r>
    </w:p>
    <w:p w14:paraId="12BD556F" w14:textId="69D56A23" w:rsidR="00A2208A" w:rsidRPr="00037AB8" w:rsidRDefault="00A2208A" w:rsidP="00A2208A">
      <w:pPr>
        <w:ind w:left="2160" w:hanging="2160"/>
      </w:pPr>
      <w:r w:rsidRPr="00037AB8">
        <w:rPr>
          <w:b/>
        </w:rPr>
        <w:t>Title:</w:t>
      </w:r>
      <w:r w:rsidRPr="00037AB8">
        <w:rPr>
          <w:b/>
        </w:rPr>
        <w:tab/>
      </w:r>
      <w:r w:rsidR="00E512D5" w:rsidRPr="00E512D5">
        <w:t>On Correlation of MU contributors for EIRP</w:t>
      </w:r>
      <w:r w:rsidR="00E512D5">
        <w:t xml:space="preserve"> and EIS spherical coverage</w:t>
      </w:r>
    </w:p>
    <w:p w14:paraId="0483421E" w14:textId="47949D36" w:rsidR="00A2208A" w:rsidRPr="00037AB8" w:rsidRDefault="00A2208A" w:rsidP="00A2208A">
      <w:pPr>
        <w:rPr>
          <w:bCs/>
          <w:lang w:eastAsia="ja-JP"/>
        </w:rPr>
      </w:pPr>
      <w:r w:rsidRPr="00037AB8">
        <w:rPr>
          <w:b/>
        </w:rPr>
        <w:t>Agenda Item:</w:t>
      </w:r>
      <w:r w:rsidR="00BB2F5E" w:rsidRPr="00037AB8">
        <w:tab/>
      </w:r>
      <w:r w:rsidR="00BB2F5E" w:rsidRPr="00037AB8">
        <w:tab/>
      </w:r>
      <w:r w:rsidR="00997FE5" w:rsidRPr="00997FE5">
        <w:t>5.3.5.17</w:t>
      </w:r>
    </w:p>
    <w:p w14:paraId="4359BC04" w14:textId="2B2F0FFE" w:rsidR="00ED78C3" w:rsidRPr="00ED78C3" w:rsidRDefault="00A2208A" w:rsidP="00A2208A">
      <w:r w:rsidRPr="00037AB8">
        <w:rPr>
          <w:b/>
        </w:rPr>
        <w:t>Document for:</w:t>
      </w:r>
      <w:r w:rsidRPr="00037AB8">
        <w:tab/>
        <w:t>Endorsement</w:t>
      </w:r>
    </w:p>
    <w:p w14:paraId="7CA60390" w14:textId="77777777" w:rsidR="00B81FC7" w:rsidRPr="00037AB8" w:rsidRDefault="00B81FC7" w:rsidP="00B81FC7">
      <w:pPr>
        <w:pStyle w:val="berschrift1"/>
        <w:rPr>
          <w:rFonts w:cs="Arial"/>
          <w:lang w:val="en-US"/>
        </w:rPr>
      </w:pPr>
      <w:r w:rsidRPr="00037AB8">
        <w:rPr>
          <w:rFonts w:cs="Arial"/>
          <w:lang w:val="en-US"/>
        </w:rPr>
        <w:t>Introduction</w:t>
      </w:r>
    </w:p>
    <w:p w14:paraId="426B42D8" w14:textId="7F2C2336" w:rsidR="00ED78C3" w:rsidRPr="00037AB8" w:rsidRDefault="00E512D5" w:rsidP="008159B1">
      <w:pPr>
        <w:jc w:val="both"/>
      </w:pPr>
      <w:bookmarkStart w:id="0" w:name="OLE_LINK10"/>
      <w:bookmarkStart w:id="1" w:name="OLE_LINK11"/>
      <w:r>
        <w:t xml:space="preserve">At RAN5 #5-5G-NR Adhoc action points have been created to evaluate which </w:t>
      </w:r>
      <w:r w:rsidR="00DF5A00">
        <w:t>measurement uncertainty (</w:t>
      </w:r>
      <w:r>
        <w:t>MU</w:t>
      </w:r>
      <w:r w:rsidR="00DF5A00">
        <w:t>)</w:t>
      </w:r>
      <w:r>
        <w:t xml:space="preserve"> contributors are correlated for FR2 EIRP spherical coverage and FR2 EIS spherical coverage, respectively. In this contribution, we characterize the correlation with respect to different grid points. </w:t>
      </w:r>
    </w:p>
    <w:p w14:paraId="59D92B3E" w14:textId="2277EABF" w:rsidR="00FC45FA" w:rsidRPr="00037AB8" w:rsidRDefault="00BC6E8D" w:rsidP="00FC45FA">
      <w:pPr>
        <w:pStyle w:val="berschrift1"/>
        <w:rPr>
          <w:lang w:val="en-US"/>
        </w:rPr>
      </w:pPr>
      <w:r w:rsidRPr="00037AB8">
        <w:rPr>
          <w:lang w:val="en-US"/>
        </w:rPr>
        <w:t>Discussion</w:t>
      </w:r>
    </w:p>
    <w:p w14:paraId="2D010921" w14:textId="44095B8A" w:rsidR="004D37F1" w:rsidRPr="002F5D64" w:rsidRDefault="004C0DA4" w:rsidP="005E31AA">
      <w:pPr>
        <w:rPr>
          <w:lang w:val="en-GB" w:eastAsia="en-US"/>
        </w:rPr>
      </w:pPr>
      <w:r w:rsidRPr="004C0DA4">
        <w:rPr>
          <w:lang w:eastAsia="en-US"/>
        </w:rPr>
        <w:t xml:space="preserve">In </w:t>
      </w:r>
      <w:r w:rsidR="004D37F1" w:rsidRPr="004C0DA4">
        <w:rPr>
          <w:lang w:eastAsia="en-US"/>
        </w:rPr>
        <w:t>Ref</w:t>
      </w:r>
      <w:r w:rsidRPr="004C0DA4">
        <w:rPr>
          <w:lang w:eastAsia="en-US"/>
        </w:rPr>
        <w:t xml:space="preserve">. [1], the </w:t>
      </w:r>
      <w:r w:rsidR="00DF5A00" w:rsidRPr="002F5D64">
        <w:rPr>
          <w:lang w:eastAsia="en-US"/>
        </w:rPr>
        <w:t>impact</w:t>
      </w:r>
      <w:r w:rsidRPr="002F5D64">
        <w:rPr>
          <w:lang w:eastAsia="en-US"/>
        </w:rPr>
        <w:t xml:space="preserve"> of correlations of measurement </w:t>
      </w:r>
      <w:r w:rsidR="00764C82" w:rsidRPr="002F5D64">
        <w:rPr>
          <w:lang w:eastAsia="en-US"/>
        </w:rPr>
        <w:t xml:space="preserve">deviations </w:t>
      </w:r>
      <w:r w:rsidR="002F5D64" w:rsidRPr="002F5D64">
        <w:rPr>
          <w:lang w:eastAsia="en-US"/>
        </w:rPr>
        <w:t>regarding</w:t>
      </w:r>
      <w:r w:rsidR="00764C82" w:rsidRPr="002F5D64">
        <w:rPr>
          <w:lang w:eastAsia="en-US"/>
        </w:rPr>
        <w:t xml:space="preserve"> </w:t>
      </w:r>
      <w:r w:rsidRPr="002F5D64">
        <w:rPr>
          <w:lang w:eastAsia="en-US"/>
        </w:rPr>
        <w:t xml:space="preserve">different grid points </w:t>
      </w:r>
      <w:r w:rsidR="007C2D3F" w:rsidRPr="002F5D64">
        <w:rPr>
          <w:lang w:eastAsia="en-US"/>
        </w:rPr>
        <w:t xml:space="preserve">on </w:t>
      </w:r>
      <w:r w:rsidR="00764C82" w:rsidRPr="002F5D64">
        <w:rPr>
          <w:lang w:eastAsia="en-US"/>
        </w:rPr>
        <w:t xml:space="preserve">the MU of the median </w:t>
      </w:r>
      <w:r w:rsidRPr="002F5D64">
        <w:rPr>
          <w:lang w:eastAsia="en-US"/>
        </w:rPr>
        <w:t xml:space="preserve">has been </w:t>
      </w:r>
      <w:r w:rsidR="00DF5A00" w:rsidRPr="002F5D64">
        <w:rPr>
          <w:lang w:eastAsia="en-US"/>
        </w:rPr>
        <w:t>discussed</w:t>
      </w:r>
      <w:r w:rsidRPr="002F5D64">
        <w:rPr>
          <w:lang w:eastAsia="en-US"/>
        </w:rPr>
        <w:t xml:space="preserve">. </w:t>
      </w:r>
    </w:p>
    <w:p w14:paraId="46318FD5" w14:textId="74A42F22" w:rsidR="00E512D5" w:rsidRPr="002F5D64" w:rsidRDefault="00E512D5" w:rsidP="005E31AA">
      <w:pPr>
        <w:rPr>
          <w:lang w:eastAsia="en-US"/>
        </w:rPr>
      </w:pPr>
      <w:r w:rsidRPr="002F5D64">
        <w:rPr>
          <w:lang w:eastAsia="en-US"/>
        </w:rPr>
        <w:t>For an IFF system, the MU contributors for FR2 EIRP spherical coverage and for EIS spherical coverage are listed in Table B.3.2-4/5 and B.19.2-2/3 of TR 38.903</w:t>
      </w:r>
      <w:r w:rsidR="00CF1BD3" w:rsidRPr="002F5D64">
        <w:rPr>
          <w:lang w:eastAsia="en-US"/>
        </w:rPr>
        <w:t> [2</w:t>
      </w:r>
      <w:r w:rsidR="00EE2405" w:rsidRPr="002F5D64">
        <w:rPr>
          <w:lang w:eastAsia="en-US"/>
        </w:rPr>
        <w:t>]</w:t>
      </w:r>
      <w:r w:rsidRPr="002F5D64">
        <w:rPr>
          <w:lang w:eastAsia="en-US"/>
        </w:rPr>
        <w:t xml:space="preserve">, respectively. </w:t>
      </w:r>
      <w:r w:rsidR="00FD63EF" w:rsidRPr="002F5D64">
        <w:rPr>
          <w:lang w:eastAsia="en-US"/>
        </w:rPr>
        <w:t>Here,</w:t>
      </w:r>
      <w:r w:rsidRPr="002F5D64">
        <w:rPr>
          <w:lang w:eastAsia="en-US"/>
        </w:rPr>
        <w:t xml:space="preserve"> we </w:t>
      </w:r>
      <w:r w:rsidR="00FD63EF" w:rsidRPr="002F5D64">
        <w:rPr>
          <w:lang w:eastAsia="en-US"/>
        </w:rPr>
        <w:t>focus</w:t>
      </w:r>
      <w:r w:rsidRPr="002F5D64">
        <w:rPr>
          <w:lang w:eastAsia="en-US"/>
        </w:rPr>
        <w:t xml:space="preserve"> only </w:t>
      </w:r>
      <w:r w:rsidR="00FD63EF" w:rsidRPr="002F5D64">
        <w:rPr>
          <w:lang w:eastAsia="en-US"/>
        </w:rPr>
        <w:t xml:space="preserve">on </w:t>
      </w:r>
      <w:r w:rsidRPr="002F5D64">
        <w:rPr>
          <w:lang w:eastAsia="en-US"/>
        </w:rPr>
        <w:t>MU contributors with values larger than 0.01 dB</w:t>
      </w:r>
      <w:r w:rsidR="00FD63EF" w:rsidRPr="002F5D64">
        <w:rPr>
          <w:lang w:eastAsia="en-US"/>
        </w:rPr>
        <w:t xml:space="preserve"> since the others can be considered as negligible for the total MU</w:t>
      </w:r>
      <w:r w:rsidRPr="002F5D64">
        <w:rPr>
          <w:lang w:eastAsia="en-US"/>
        </w:rPr>
        <w:t>.</w:t>
      </w:r>
    </w:p>
    <w:p w14:paraId="51C975DD" w14:textId="77777777" w:rsidR="00ED78C3" w:rsidRDefault="004D37F1" w:rsidP="00ED78C3">
      <w:pPr>
        <w:rPr>
          <w:lang w:eastAsia="en-US"/>
        </w:rPr>
      </w:pPr>
      <w:r w:rsidRPr="002F5D64">
        <w:rPr>
          <w:lang w:eastAsia="en-US"/>
        </w:rPr>
        <w:t>Table 1 summarizes the relevant MU contributors and their type of correlation for measurement results taken at different grid points</w:t>
      </w:r>
      <w:r w:rsidR="00FD63EF" w:rsidRPr="002F5D64">
        <w:rPr>
          <w:lang w:eastAsia="en-US"/>
        </w:rPr>
        <w:t xml:space="preserve">. </w:t>
      </w:r>
    </w:p>
    <w:p w14:paraId="6EE588B4" w14:textId="77777777" w:rsidR="00ED78C3" w:rsidRPr="002F5D64" w:rsidRDefault="00ED78C3" w:rsidP="00ED78C3">
      <w:pPr>
        <w:rPr>
          <w:lang w:eastAsia="en-US"/>
        </w:rPr>
      </w:pPr>
      <w:r w:rsidRPr="002F5D64">
        <w:rPr>
          <w:lang w:eastAsia="en-US"/>
        </w:rPr>
        <w:t xml:space="preserve">In the following, we give some background information on the correlation type of the individual MU contributors. </w:t>
      </w:r>
    </w:p>
    <w:p w14:paraId="76BA512E" w14:textId="0EC10BDC" w:rsidR="00ED78C3" w:rsidRPr="002F5D64" w:rsidRDefault="00ED78C3" w:rsidP="00ED78C3">
      <w:pPr>
        <w:rPr>
          <w:lang w:eastAsia="en-US"/>
        </w:rPr>
      </w:pPr>
      <w:r w:rsidRPr="002F5D64">
        <w:rPr>
          <w:lang w:eastAsia="en-US"/>
        </w:rPr>
        <w:t>The deviation d</w:t>
      </w:r>
      <w:r w:rsidR="009D2BA6">
        <w:rPr>
          <w:lang w:eastAsia="en-US"/>
        </w:rPr>
        <w:t xml:space="preserve">ue to quality of quiet zone is </w:t>
      </w:r>
      <w:r w:rsidRPr="002F5D64">
        <w:rPr>
          <w:lang w:eastAsia="en-US"/>
        </w:rPr>
        <w:t>n</w:t>
      </w:r>
      <w:r w:rsidR="009D2BA6">
        <w:rPr>
          <w:lang w:eastAsia="en-US"/>
        </w:rPr>
        <w:t xml:space="preserve">ot 100% </w:t>
      </w:r>
      <w:r w:rsidRPr="002F5D64">
        <w:rPr>
          <w:lang w:eastAsia="en-US"/>
        </w:rPr>
        <w:t>correlated between different measurement points as the electromagnetic environment for each grid point is slightly different.</w:t>
      </w:r>
    </w:p>
    <w:p w14:paraId="611C2287" w14:textId="6C2B8CC9" w:rsidR="00ED78C3" w:rsidRPr="002F5D64" w:rsidRDefault="00ED78C3" w:rsidP="00ED78C3">
      <w:pPr>
        <w:rPr>
          <w:lang w:eastAsia="en-US"/>
        </w:rPr>
      </w:pPr>
      <w:r w:rsidRPr="002F5D64">
        <w:rPr>
          <w:lang w:eastAsia="en-US"/>
        </w:rPr>
        <w:t>Regarding mismatch, uncertainty of the RF power measurement equipment</w:t>
      </w:r>
      <w:r w:rsidR="00E30DA6">
        <w:rPr>
          <w:lang w:eastAsia="en-US"/>
        </w:rPr>
        <w:t>,</w:t>
      </w:r>
      <w:r w:rsidRPr="002F5D64">
        <w:rPr>
          <w:lang w:eastAsia="en-US"/>
        </w:rPr>
        <w:t xml:space="preserve"> and gNB uncertainty on absolute level, the type of correlation depends on the test equipment implementation. If the same RF path (also inside the power measurement device or gNB) is applied for all grid points the deviation is correlated. When different RF paths are applied in dependence on the power level, only the data points measured with the same RF path are correlated.</w:t>
      </w:r>
    </w:p>
    <w:p w14:paraId="08D969EA" w14:textId="512E9B9F" w:rsidR="00ED78C3" w:rsidRPr="002F5D64" w:rsidRDefault="00ED78C3" w:rsidP="00ED78C3">
      <w:pPr>
        <w:rPr>
          <w:lang w:eastAsia="en-US"/>
        </w:rPr>
      </w:pPr>
      <w:r w:rsidRPr="002F5D64">
        <w:rPr>
          <w:lang w:eastAsia="en-US"/>
        </w:rPr>
        <w:t xml:space="preserve">Whether the deviation due to the amplifier uncertainty is correlated depends on how stable the amplifier gain is during the complete spherical coverage measurement. In Ref. [3] it was argued that the amplifier temperature can change, e.g., due to its operating point. Taking this into account the amplifier uncertainty is </w:t>
      </w:r>
      <w:r w:rsidR="009D2BA6">
        <w:rPr>
          <w:lang w:eastAsia="en-US"/>
        </w:rPr>
        <w:t xml:space="preserve">not 100% </w:t>
      </w:r>
      <w:r w:rsidRPr="002F5D64">
        <w:rPr>
          <w:lang w:eastAsia="en-US"/>
        </w:rPr>
        <w:t xml:space="preserve">correlated for different grid points. </w:t>
      </w:r>
    </w:p>
    <w:p w14:paraId="733774DD" w14:textId="77777777" w:rsidR="00764C82" w:rsidRPr="002F5D64" w:rsidRDefault="00764C82" w:rsidP="00764C82">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2F5D64">
        <w:rPr>
          <w:rFonts w:eastAsia="Times New Roman" w:cs="Times New Roman"/>
          <w:b/>
          <w:sz w:val="20"/>
          <w:szCs w:val="20"/>
          <w:lang w:val="en-GB" w:eastAsia="en-GB"/>
        </w:rPr>
        <w:lastRenderedPageBreak/>
        <w:t xml:space="preserve">Table 1: Type of correlation of MU contributors for EIRP and EIS spherical coverage </w:t>
      </w: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946"/>
        <w:gridCol w:w="1977"/>
      </w:tblGrid>
      <w:tr w:rsidR="00764C82" w:rsidRPr="002F5D64" w14:paraId="4DD3C953"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vAlign w:val="center"/>
          </w:tcPr>
          <w:p w14:paraId="318B3D65"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F5D64">
              <w:rPr>
                <w:rFonts w:eastAsia="Times New Roman" w:cs="Times New Roman"/>
                <w:b/>
                <w:sz w:val="18"/>
                <w:szCs w:val="20"/>
                <w:lang w:val="en-GB" w:eastAsia="en-GB"/>
              </w:rPr>
              <w:t>Description of uncertainty contribution</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45BF0FF3"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F5D64">
              <w:rPr>
                <w:rFonts w:eastAsia="Times New Roman" w:cs="Times New Roman"/>
                <w:b/>
                <w:sz w:val="18"/>
                <w:szCs w:val="20"/>
                <w:lang w:val="en-GB" w:eastAsia="en-GB"/>
              </w:rPr>
              <w:t>type of correlation for measurements at different grid points</w:t>
            </w:r>
          </w:p>
        </w:tc>
      </w:tr>
      <w:tr w:rsidR="00764C82" w:rsidRPr="002F5D64" w14:paraId="2178FCDD" w14:textId="77777777" w:rsidTr="000E111A">
        <w:trPr>
          <w:cantSplit/>
          <w:tblHeader/>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auto"/>
          </w:tcPr>
          <w:p w14:paraId="50DF4C25"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F5D64">
              <w:rPr>
                <w:rFonts w:eastAsia="Times New Roman" w:cs="Times New Roman"/>
                <w:b/>
                <w:sz w:val="18"/>
                <w:szCs w:val="20"/>
                <w:lang w:val="en-GB" w:eastAsia="en-GB"/>
              </w:rPr>
              <w:t>Stage 2: DUT measurement</w:t>
            </w:r>
          </w:p>
        </w:tc>
      </w:tr>
      <w:tr w:rsidR="00764C82" w:rsidRPr="002F5D64" w14:paraId="324C060B"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39896076"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en-GB"/>
              </w:rPr>
              <w:t>Quality of Quiet Zone</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66464EDB" w14:textId="46172842" w:rsidR="00764C82" w:rsidRPr="002F5D64" w:rsidRDefault="00713351"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Pr>
                <w:rFonts w:eastAsia="Times New Roman" w:cs="Times New Roman"/>
                <w:sz w:val="18"/>
                <w:szCs w:val="20"/>
                <w:lang w:val="en-GB" w:eastAsia="ja-JP"/>
              </w:rPr>
              <w:t xml:space="preserve">not 100% </w:t>
            </w:r>
            <w:r w:rsidRPr="002F5D64">
              <w:rPr>
                <w:rFonts w:eastAsia="Times New Roman" w:cs="Times New Roman"/>
                <w:sz w:val="18"/>
                <w:szCs w:val="20"/>
                <w:lang w:val="en-GB" w:eastAsia="ja-JP"/>
              </w:rPr>
              <w:t>correlated</w:t>
            </w:r>
          </w:p>
        </w:tc>
      </w:tr>
      <w:tr w:rsidR="00764C82" w:rsidRPr="002F5D64" w14:paraId="6E4E5F29"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2990AFB6"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en-GB"/>
              </w:rPr>
              <w:t>Mismatch</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2EB1992F"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2F5D64">
              <w:rPr>
                <w:rFonts w:eastAsia="Times New Roman" w:cs="Times New Roman"/>
                <w:sz w:val="18"/>
                <w:szCs w:val="20"/>
                <w:lang w:val="en-GB" w:eastAsia="ja-JP"/>
              </w:rPr>
              <w:t>depends on TE implementation</w:t>
            </w:r>
          </w:p>
        </w:tc>
      </w:tr>
      <w:tr w:rsidR="00764C82" w:rsidRPr="002F5D64" w14:paraId="276974A8"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4FA5A5D9"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en-GB"/>
              </w:rPr>
              <w:t>Uncertainty of the RF power measurement equipment (</w:t>
            </w:r>
            <w:r w:rsidRPr="002F5D64">
              <w:rPr>
                <w:rFonts w:eastAsia="Times New Roman" w:cs="Times New Roman"/>
                <w:sz w:val="18"/>
                <w:szCs w:val="20"/>
                <w:lang w:val="en-GB" w:eastAsia="ja-JP"/>
              </w:rPr>
              <w:t>NOTE</w:t>
            </w:r>
            <w:r w:rsidRPr="002F5D64">
              <w:rPr>
                <w:rFonts w:eastAsia="Times New Roman" w:cs="Times New Roman"/>
                <w:sz w:val="18"/>
                <w:szCs w:val="20"/>
                <w:lang w:val="en-GB" w:eastAsia="en-GB"/>
              </w:rPr>
              <w:t xml:space="preserve"> 1)</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20D85CB6"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2F5D64">
              <w:rPr>
                <w:rFonts w:eastAsia="Times New Roman" w:cs="Times New Roman"/>
                <w:sz w:val="18"/>
                <w:szCs w:val="20"/>
                <w:lang w:val="en-GB" w:eastAsia="ja-JP"/>
              </w:rPr>
              <w:t>depends on TE implementation</w:t>
            </w:r>
          </w:p>
        </w:tc>
      </w:tr>
      <w:tr w:rsidR="00764C82" w:rsidRPr="002F5D64" w14:paraId="65CDF053"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13AD0FE6"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en-GB"/>
              </w:rPr>
              <w:t>gNB uncertainty on absolute level  (</w:t>
            </w:r>
            <w:r w:rsidRPr="002F5D64">
              <w:rPr>
                <w:rFonts w:eastAsia="Times New Roman" w:cs="Times New Roman"/>
                <w:sz w:val="18"/>
                <w:szCs w:val="20"/>
                <w:lang w:val="en-GB" w:eastAsia="ja-JP"/>
              </w:rPr>
              <w:t>NOTE</w:t>
            </w:r>
            <w:r w:rsidRPr="002F5D64">
              <w:rPr>
                <w:rFonts w:eastAsia="Times New Roman" w:cs="Times New Roman"/>
                <w:sz w:val="18"/>
                <w:szCs w:val="20"/>
                <w:lang w:val="en-GB" w:eastAsia="en-GB"/>
              </w:rPr>
              <w:t xml:space="preserve"> 2)</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7147AD3D"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F5D64">
              <w:rPr>
                <w:rFonts w:eastAsia="Times New Roman" w:cs="Times New Roman"/>
                <w:sz w:val="18"/>
                <w:szCs w:val="20"/>
                <w:lang w:val="en-GB" w:eastAsia="ja-JP"/>
              </w:rPr>
              <w:t>depends on TE implementation</w:t>
            </w:r>
          </w:p>
        </w:tc>
      </w:tr>
      <w:tr w:rsidR="00764C82" w:rsidRPr="002F5D64" w14:paraId="2132BD07"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28898109"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ja-JP"/>
              </w:rPr>
              <w:t>Amplifier uncertainties</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3E280ACA" w14:textId="1CC3E90C" w:rsidR="00764C82" w:rsidRPr="002F5D64" w:rsidRDefault="00713351" w:rsidP="0071335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ja-JP"/>
              </w:rPr>
              <w:t xml:space="preserve">not 100% </w:t>
            </w:r>
            <w:r w:rsidR="00764C82" w:rsidRPr="002F5D64">
              <w:rPr>
                <w:rFonts w:eastAsia="Times New Roman" w:cs="Times New Roman"/>
                <w:sz w:val="18"/>
                <w:szCs w:val="20"/>
                <w:lang w:val="en-GB" w:eastAsia="ja-JP"/>
              </w:rPr>
              <w:t>correlated</w:t>
            </w:r>
          </w:p>
        </w:tc>
      </w:tr>
      <w:tr w:rsidR="00764C82" w:rsidRPr="002F5D64" w14:paraId="5868FE5B"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328A809F"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ja-JP"/>
              </w:rPr>
              <w:t>Random uncertainty</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06752DC1"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2F5D64">
              <w:rPr>
                <w:rFonts w:eastAsia="Times New Roman" w:cs="Times New Roman"/>
                <w:sz w:val="18"/>
                <w:szCs w:val="20"/>
                <w:lang w:val="en-GB" w:eastAsia="ja-JP"/>
              </w:rPr>
              <w:t>uncorrelated</w:t>
            </w:r>
          </w:p>
        </w:tc>
      </w:tr>
      <w:tr w:rsidR="00764C82" w:rsidRPr="002F5D64" w14:paraId="08D92E2B"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4EF2E092"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en-GB"/>
              </w:rPr>
              <w:t>Multiple measurement antenna uncertainty</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569E1003" w14:textId="0E1CEE7F" w:rsidR="00764C82" w:rsidRPr="002F5D64" w:rsidRDefault="00713351"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Pr>
                <w:rFonts w:eastAsia="Times New Roman" w:cs="Times New Roman"/>
                <w:sz w:val="18"/>
                <w:szCs w:val="20"/>
                <w:lang w:val="en-GB" w:eastAsia="en-GB"/>
              </w:rPr>
              <w:t xml:space="preserve">100% </w:t>
            </w:r>
            <w:r w:rsidR="00764C82" w:rsidRPr="002F5D64">
              <w:rPr>
                <w:rFonts w:eastAsia="Times New Roman" w:cs="Times New Roman"/>
                <w:sz w:val="18"/>
                <w:szCs w:val="20"/>
                <w:lang w:val="en-GB" w:eastAsia="en-GB"/>
              </w:rPr>
              <w:t>correlated</w:t>
            </w:r>
          </w:p>
        </w:tc>
      </w:tr>
      <w:tr w:rsidR="00764C82" w:rsidRPr="002F5D64" w14:paraId="17BECAE3"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0ECCCA64"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2F5D64">
              <w:rPr>
                <w:rFonts w:eastAsia="Times New Roman" w:cs="Times New Roman"/>
                <w:sz w:val="18"/>
                <w:szCs w:val="20"/>
                <w:lang w:val="en-GB" w:eastAsia="en-GB"/>
              </w:rPr>
              <w:t>Influence of spherical coverage grid</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617D1C98"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2F5D64">
              <w:rPr>
                <w:rFonts w:eastAsia="Times New Roman" w:cs="Times New Roman"/>
                <w:sz w:val="18"/>
                <w:szCs w:val="20"/>
                <w:lang w:val="en-GB" w:eastAsia="ja-JP"/>
              </w:rPr>
              <w:t>N/A</w:t>
            </w:r>
          </w:p>
        </w:tc>
      </w:tr>
      <w:tr w:rsidR="00764C82" w:rsidRPr="002F5D64" w14:paraId="233EA1D3" w14:textId="77777777" w:rsidTr="000E111A">
        <w:trPr>
          <w:cantSplit/>
          <w:tblHeader/>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auto"/>
          </w:tcPr>
          <w:p w14:paraId="0D7A2DE0"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F5D64">
              <w:rPr>
                <w:rFonts w:eastAsia="Times New Roman" w:cs="Times New Roman"/>
                <w:b/>
                <w:sz w:val="18"/>
                <w:szCs w:val="20"/>
                <w:lang w:val="en-GB" w:eastAsia="en-GB"/>
              </w:rPr>
              <w:t>Stage 1: Calibration measurement</w:t>
            </w:r>
          </w:p>
        </w:tc>
      </w:tr>
      <w:tr w:rsidR="00764C82" w:rsidRPr="002F5D64" w14:paraId="73333B9A"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34D2DF04"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2F5D64">
              <w:rPr>
                <w:rFonts w:eastAsia="Times New Roman" w:cs="Times New Roman"/>
                <w:sz w:val="18"/>
                <w:szCs w:val="20"/>
                <w:lang w:val="en-GB" w:eastAsia="en-GB"/>
              </w:rPr>
              <w:t xml:space="preserve">Uncertainty of the Network </w:t>
            </w:r>
            <w:proofErr w:type="spellStart"/>
            <w:r w:rsidRPr="002F5D64">
              <w:rPr>
                <w:rFonts w:eastAsia="Times New Roman" w:cs="Times New Roman"/>
                <w:sz w:val="18"/>
                <w:szCs w:val="20"/>
                <w:lang w:val="en-GB" w:eastAsia="en-GB"/>
              </w:rPr>
              <w:t>Analyzer</w:t>
            </w:r>
            <w:proofErr w:type="spellEnd"/>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18C25B3F" w14:textId="4B74A0B1" w:rsidR="00764C82" w:rsidRPr="002F5D64" w:rsidRDefault="00713351"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Pr>
                <w:rFonts w:eastAsia="Times New Roman" w:cs="Times New Roman"/>
                <w:sz w:val="18"/>
                <w:szCs w:val="20"/>
                <w:lang w:val="en-GB" w:eastAsia="en-GB"/>
              </w:rPr>
              <w:t xml:space="preserve">100% </w:t>
            </w:r>
            <w:r w:rsidR="00764C82" w:rsidRPr="002F5D64">
              <w:rPr>
                <w:rFonts w:eastAsia="Times New Roman" w:cs="Times New Roman"/>
                <w:sz w:val="18"/>
                <w:szCs w:val="20"/>
                <w:lang w:val="en-GB" w:eastAsia="en-GB"/>
              </w:rPr>
              <w:t>correlated</w:t>
            </w:r>
          </w:p>
        </w:tc>
      </w:tr>
      <w:tr w:rsidR="00764C82" w:rsidRPr="002F5D64" w14:paraId="32BF5AB9"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0F827A3C"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2F5D64">
              <w:rPr>
                <w:rFonts w:eastAsia="Times New Roman" w:cs="Times New Roman"/>
                <w:sz w:val="18"/>
                <w:szCs w:val="20"/>
                <w:lang w:val="en-GB" w:eastAsia="ja-JP"/>
              </w:rPr>
              <w:t>Uncertainty of the absolute gain of the calibration antenna</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1B9809DE" w14:textId="0A5BDED0" w:rsidR="00764C82" w:rsidRPr="002F5D64" w:rsidRDefault="00713351"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Pr>
                <w:rFonts w:eastAsia="Times New Roman" w:cs="Times New Roman"/>
                <w:sz w:val="18"/>
                <w:szCs w:val="20"/>
                <w:lang w:val="en-GB" w:eastAsia="en-GB"/>
              </w:rPr>
              <w:t xml:space="preserve">100% </w:t>
            </w:r>
            <w:r w:rsidR="00764C82" w:rsidRPr="002F5D64">
              <w:rPr>
                <w:rFonts w:eastAsia="Times New Roman" w:cs="Times New Roman"/>
                <w:sz w:val="18"/>
                <w:szCs w:val="20"/>
                <w:lang w:val="en-GB" w:eastAsia="en-GB"/>
              </w:rPr>
              <w:t>correlated</w:t>
            </w:r>
          </w:p>
        </w:tc>
      </w:tr>
      <w:tr w:rsidR="00764C82" w:rsidRPr="002F5D64" w14:paraId="33CA2D52"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72083336"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en-GB"/>
              </w:rPr>
              <w:t>Quality of quiet zone for calibration process</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3FA18DD0" w14:textId="74F92DA4" w:rsidR="00764C82" w:rsidRPr="002F5D64" w:rsidRDefault="00713351"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Pr>
                <w:rFonts w:eastAsia="Times New Roman" w:cs="Times New Roman"/>
                <w:sz w:val="18"/>
                <w:szCs w:val="20"/>
                <w:lang w:val="en-GB" w:eastAsia="en-GB"/>
              </w:rPr>
              <w:t xml:space="preserve">100% </w:t>
            </w:r>
            <w:r w:rsidR="00764C82" w:rsidRPr="002F5D64">
              <w:rPr>
                <w:rFonts w:eastAsia="Times New Roman" w:cs="Times New Roman"/>
                <w:sz w:val="18"/>
                <w:szCs w:val="20"/>
                <w:lang w:val="en-GB" w:eastAsia="en-GB"/>
              </w:rPr>
              <w:t>correlated</w:t>
            </w:r>
          </w:p>
        </w:tc>
      </w:tr>
      <w:tr w:rsidR="00764C82" w:rsidRPr="002F5D64" w14:paraId="2CCE7D75"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6E396493"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en-GB"/>
              </w:rPr>
              <w:t>Influence of the calibration antenna feed cable</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2AD447AD" w14:textId="3C1297CB" w:rsidR="00764C82" w:rsidRPr="002F5D64" w:rsidRDefault="00713351"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Pr>
                <w:rFonts w:eastAsia="Times New Roman" w:cs="Times New Roman"/>
                <w:sz w:val="18"/>
                <w:szCs w:val="20"/>
                <w:lang w:val="en-GB" w:eastAsia="en-GB"/>
              </w:rPr>
              <w:t xml:space="preserve">100% </w:t>
            </w:r>
            <w:r w:rsidR="00764C82" w:rsidRPr="002F5D64">
              <w:rPr>
                <w:rFonts w:eastAsia="Times New Roman" w:cs="Times New Roman"/>
                <w:sz w:val="18"/>
                <w:szCs w:val="20"/>
                <w:lang w:val="en-GB" w:eastAsia="en-GB"/>
              </w:rPr>
              <w:t>correlated</w:t>
            </w:r>
          </w:p>
        </w:tc>
      </w:tr>
      <w:tr w:rsidR="00764C82" w:rsidRPr="002F5D64" w14:paraId="59A03195" w14:textId="77777777" w:rsidTr="000E111A">
        <w:trPr>
          <w:cantSplit/>
          <w:tblHeader/>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auto"/>
          </w:tcPr>
          <w:p w14:paraId="08AFC188"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F5D64">
              <w:rPr>
                <w:rFonts w:eastAsia="Times New Roman" w:cs="Times New Roman"/>
                <w:b/>
                <w:sz w:val="18"/>
                <w:szCs w:val="20"/>
                <w:lang w:val="en-GB" w:eastAsia="en-GB"/>
              </w:rPr>
              <w:t>Systematic uncertainties</w:t>
            </w:r>
          </w:p>
        </w:tc>
      </w:tr>
      <w:tr w:rsidR="00764C82" w:rsidRPr="002F5D64" w14:paraId="655B8447"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719AFD4A"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F5D64">
              <w:rPr>
                <w:rFonts w:eastAsia="Times New Roman" w:cs="Times New Roman"/>
                <w:sz w:val="18"/>
                <w:szCs w:val="20"/>
                <w:lang w:val="en-GB" w:eastAsia="ja-JP"/>
              </w:rPr>
              <w:t>Influence of noise (NOTE 1)</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61F3E9C1"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F5D64">
              <w:rPr>
                <w:rFonts w:eastAsia="Times New Roman" w:cs="Times New Roman"/>
                <w:sz w:val="18"/>
                <w:szCs w:val="20"/>
                <w:lang w:val="en-GB" w:eastAsia="en-GB"/>
              </w:rPr>
              <w:t>N/A</w:t>
            </w:r>
          </w:p>
        </w:tc>
      </w:tr>
      <w:tr w:rsidR="00764C82" w:rsidRPr="002F5D64" w14:paraId="2E62D6E8" w14:textId="77777777" w:rsidTr="000E111A">
        <w:trPr>
          <w:cantSplit/>
          <w:tblHeader/>
          <w:jc w:val="center"/>
        </w:trPr>
        <w:tc>
          <w:tcPr>
            <w:tcW w:w="3892" w:type="pct"/>
            <w:tcBorders>
              <w:top w:val="single" w:sz="6" w:space="0" w:color="auto"/>
              <w:left w:val="single" w:sz="6" w:space="0" w:color="auto"/>
              <w:bottom w:val="single" w:sz="6" w:space="0" w:color="auto"/>
              <w:right w:val="single" w:sz="6" w:space="0" w:color="auto"/>
            </w:tcBorders>
            <w:shd w:val="clear" w:color="auto" w:fill="auto"/>
          </w:tcPr>
          <w:p w14:paraId="02EE789B" w14:textId="77777777" w:rsidR="00764C82" w:rsidRPr="002F5D64" w:rsidRDefault="00764C82" w:rsidP="000E111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2F5D64">
              <w:rPr>
                <w:rFonts w:eastAsia="Times New Roman" w:cs="Times New Roman"/>
                <w:sz w:val="18"/>
                <w:szCs w:val="20"/>
                <w:lang w:val="en-GB" w:eastAsia="ja-JP"/>
              </w:rPr>
              <w:t>Systematic error related to EIS spherical coverage (NOTE 2)</w:t>
            </w:r>
          </w:p>
        </w:tc>
        <w:tc>
          <w:tcPr>
            <w:tcW w:w="1108" w:type="pct"/>
            <w:tcBorders>
              <w:top w:val="single" w:sz="6" w:space="0" w:color="auto"/>
              <w:left w:val="single" w:sz="6" w:space="0" w:color="auto"/>
              <w:bottom w:val="single" w:sz="6" w:space="0" w:color="auto"/>
              <w:right w:val="single" w:sz="6" w:space="0" w:color="auto"/>
            </w:tcBorders>
            <w:shd w:val="clear" w:color="auto" w:fill="auto"/>
          </w:tcPr>
          <w:p w14:paraId="11957980" w14:textId="77777777" w:rsidR="00764C82" w:rsidRPr="002F5D64" w:rsidRDefault="00764C82" w:rsidP="000E111A">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2F5D64">
              <w:rPr>
                <w:rFonts w:eastAsia="Times New Roman" w:cs="Times New Roman"/>
                <w:sz w:val="18"/>
                <w:szCs w:val="20"/>
                <w:lang w:val="en-GB" w:eastAsia="ja-JP"/>
              </w:rPr>
              <w:t>N/A</w:t>
            </w:r>
          </w:p>
        </w:tc>
      </w:tr>
      <w:tr w:rsidR="00764C82" w:rsidRPr="002F5D64" w14:paraId="19416AB7" w14:textId="77777777" w:rsidTr="000E111A">
        <w:trPr>
          <w:cantSplit/>
          <w:tblHeader/>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auto"/>
          </w:tcPr>
          <w:p w14:paraId="20DB3DA0" w14:textId="77777777" w:rsidR="00764C82" w:rsidRPr="002F5D64" w:rsidRDefault="00764C82" w:rsidP="000E111A">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2F5D64">
              <w:rPr>
                <w:rFonts w:eastAsia="Times New Roman" w:cs="Times New Roman"/>
                <w:sz w:val="18"/>
                <w:szCs w:val="20"/>
                <w:lang w:val="en-GB" w:eastAsia="en-US"/>
              </w:rPr>
              <w:t>NOTE 1:</w:t>
            </w:r>
            <w:r w:rsidRPr="002F5D64">
              <w:rPr>
                <w:rFonts w:eastAsia="Times New Roman" w:cs="Times New Roman"/>
                <w:sz w:val="18"/>
                <w:szCs w:val="20"/>
                <w:lang w:val="en-GB" w:eastAsia="en-US"/>
              </w:rPr>
              <w:tab/>
              <w:t>This contributor shall only be considered for EIRP spherical coverage.</w:t>
            </w:r>
          </w:p>
          <w:p w14:paraId="15D7F792" w14:textId="77777777" w:rsidR="00764C82" w:rsidRPr="002F5D64" w:rsidRDefault="00764C82" w:rsidP="000E111A">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2F5D64">
              <w:rPr>
                <w:rFonts w:eastAsia="Times New Roman" w:cs="Times New Roman"/>
                <w:sz w:val="18"/>
                <w:szCs w:val="20"/>
                <w:lang w:val="en-GB" w:eastAsia="en-US"/>
              </w:rPr>
              <w:t>NOTE 2:</w:t>
            </w:r>
            <w:r w:rsidRPr="002F5D64">
              <w:rPr>
                <w:rFonts w:eastAsia="Times New Roman" w:cs="Times New Roman"/>
                <w:sz w:val="18"/>
                <w:szCs w:val="20"/>
                <w:lang w:val="en-GB" w:eastAsia="en-US"/>
              </w:rPr>
              <w:tab/>
              <w:t>This contributor shall only be considered for EIS spherical coverage.</w:t>
            </w:r>
          </w:p>
        </w:tc>
      </w:tr>
    </w:tbl>
    <w:p w14:paraId="7FD37F06" w14:textId="77777777" w:rsidR="00764C82" w:rsidRPr="002F5D64" w:rsidRDefault="00764C82" w:rsidP="004D37F1">
      <w:pPr>
        <w:rPr>
          <w:lang w:eastAsia="en-US"/>
        </w:rPr>
      </w:pPr>
    </w:p>
    <w:p w14:paraId="223EE0A5" w14:textId="30031140" w:rsidR="00BD79E1" w:rsidRPr="002F5D64" w:rsidRDefault="00BD79E1" w:rsidP="004D37F1">
      <w:pPr>
        <w:rPr>
          <w:lang w:eastAsia="en-US"/>
        </w:rPr>
      </w:pPr>
      <w:r w:rsidRPr="002F5D64">
        <w:rPr>
          <w:lang w:eastAsia="en-US"/>
        </w:rPr>
        <w:t>Due to its nature random uncertainty is uncorrelated.</w:t>
      </w:r>
    </w:p>
    <w:p w14:paraId="00B9A178" w14:textId="73835A49" w:rsidR="008C41D6" w:rsidRPr="002F5D64" w:rsidRDefault="00DA3D17" w:rsidP="004D37F1">
      <w:pPr>
        <w:rPr>
          <w:lang w:eastAsia="en-US"/>
        </w:rPr>
      </w:pPr>
      <w:r w:rsidRPr="002F5D64">
        <w:rPr>
          <w:lang w:eastAsia="en-US"/>
        </w:rPr>
        <w:t>The MU contributor m</w:t>
      </w:r>
      <w:r w:rsidR="008C41D6" w:rsidRPr="002F5D64">
        <w:rPr>
          <w:lang w:eastAsia="en-US"/>
        </w:rPr>
        <w:t>ultiple measurement antenna uncertainty</w:t>
      </w:r>
      <w:r w:rsidRPr="002F5D64">
        <w:rPr>
          <w:lang w:eastAsia="en-US"/>
        </w:rPr>
        <w:t xml:space="preserve"> is </w:t>
      </w:r>
      <w:r w:rsidR="009D2BA6">
        <w:rPr>
          <w:lang w:eastAsia="en-US"/>
        </w:rPr>
        <w:t xml:space="preserve">100% </w:t>
      </w:r>
      <w:r w:rsidRPr="002F5D64">
        <w:rPr>
          <w:lang w:eastAsia="en-US"/>
        </w:rPr>
        <w:t>correlated since the loss of the measurement antenna cable does not change during the spherical coverage measurement.</w:t>
      </w:r>
    </w:p>
    <w:p w14:paraId="7D0D18CB" w14:textId="780DBCD7" w:rsidR="00DA3D17" w:rsidRPr="002F5D64" w:rsidRDefault="00DA3D17" w:rsidP="004D37F1">
      <w:pPr>
        <w:rPr>
          <w:lang w:eastAsia="en-US"/>
        </w:rPr>
      </w:pPr>
      <w:r w:rsidRPr="002F5D64">
        <w:rPr>
          <w:lang w:eastAsia="en-US"/>
        </w:rPr>
        <w:t>The contributor influence of spherical coverage grid is associated with the entirety of measurement data and not a single EIRP measurement and the correlation regarding different grid points is not applicable.</w:t>
      </w:r>
      <w:r w:rsidR="00764C82" w:rsidRPr="002F5D64">
        <w:rPr>
          <w:lang w:eastAsia="en-US"/>
        </w:rPr>
        <w:t xml:space="preserve"> </w:t>
      </w:r>
    </w:p>
    <w:p w14:paraId="394E7C0C" w14:textId="301915A6" w:rsidR="00BD79E1" w:rsidRPr="002F5D64" w:rsidRDefault="00BD79E1" w:rsidP="004D37F1">
      <w:pPr>
        <w:rPr>
          <w:lang w:eastAsia="en-US"/>
        </w:rPr>
      </w:pPr>
      <w:r w:rsidRPr="002F5D64">
        <w:rPr>
          <w:lang w:eastAsia="en-US"/>
        </w:rPr>
        <w:t>Since the same calibration is applied for all EIRP measurements forming the CDF dataset, the uncertainties of Stage 1</w:t>
      </w:r>
      <w:r w:rsidR="00DA3D17" w:rsidRPr="002F5D64">
        <w:rPr>
          <w:lang w:eastAsia="en-US"/>
        </w:rPr>
        <w:t>:</w:t>
      </w:r>
      <w:r w:rsidRPr="002F5D64">
        <w:rPr>
          <w:lang w:eastAsia="en-US"/>
        </w:rPr>
        <w:t xml:space="preserve"> Calibration measurement, affect all data points in the same way and</w:t>
      </w:r>
      <w:r w:rsidR="00DA3D17" w:rsidRPr="002F5D64">
        <w:rPr>
          <w:lang w:eastAsia="en-US"/>
        </w:rPr>
        <w:t>,</w:t>
      </w:r>
      <w:r w:rsidRPr="002F5D64">
        <w:rPr>
          <w:lang w:eastAsia="en-US"/>
        </w:rPr>
        <w:t xml:space="preserve"> therefore</w:t>
      </w:r>
      <w:r w:rsidR="00DA3D17" w:rsidRPr="002F5D64">
        <w:rPr>
          <w:lang w:eastAsia="en-US"/>
        </w:rPr>
        <w:t>,</w:t>
      </w:r>
      <w:r w:rsidRPr="002F5D64">
        <w:rPr>
          <w:lang w:eastAsia="en-US"/>
        </w:rPr>
        <w:t xml:space="preserve"> are </w:t>
      </w:r>
      <w:r w:rsidR="009D2BA6">
        <w:rPr>
          <w:lang w:eastAsia="en-US"/>
        </w:rPr>
        <w:t xml:space="preserve">100% </w:t>
      </w:r>
      <w:r w:rsidRPr="002F5D64">
        <w:rPr>
          <w:lang w:eastAsia="en-US"/>
        </w:rPr>
        <w:t>correlated.</w:t>
      </w:r>
    </w:p>
    <w:p w14:paraId="2E33FD29" w14:textId="1289803E" w:rsidR="00FD63EF" w:rsidRPr="002F5D64" w:rsidRDefault="00FD63EF" w:rsidP="004D37F1">
      <w:pPr>
        <w:rPr>
          <w:lang w:eastAsia="en-US"/>
        </w:rPr>
      </w:pPr>
      <w:r w:rsidRPr="002F5D64">
        <w:rPr>
          <w:lang w:eastAsia="en-US"/>
        </w:rPr>
        <w:t xml:space="preserve">The systematic uncertainty </w:t>
      </w:r>
      <w:r w:rsidR="00764C82" w:rsidRPr="002F5D64">
        <w:rPr>
          <w:lang w:eastAsia="en-US"/>
        </w:rPr>
        <w:t>i</w:t>
      </w:r>
      <w:r w:rsidRPr="002F5D64">
        <w:rPr>
          <w:lang w:eastAsia="en-US"/>
        </w:rPr>
        <w:t>nfluence of noise is currently under discussion and it will be based on an assumed CDF curve, i.e.</w:t>
      </w:r>
      <w:r w:rsidR="007132D5" w:rsidRPr="002F5D64">
        <w:rPr>
          <w:lang w:eastAsia="en-US"/>
        </w:rPr>
        <w:t>,</w:t>
      </w:r>
      <w:r w:rsidRPr="002F5D64">
        <w:rPr>
          <w:lang w:eastAsia="en-US"/>
        </w:rPr>
        <w:t xml:space="preserve"> on all the data points forming the CDF. The Influence of noise is not an uncertainty related to a single EIRP measurement but describes the uncertainty of the power level at the 50-percentile and, thus, its type of correlation cannot be specified. </w:t>
      </w:r>
    </w:p>
    <w:p w14:paraId="727B2D61" w14:textId="6783BBD4" w:rsidR="00125708" w:rsidRDefault="00394D92" w:rsidP="004D37F1">
      <w:pPr>
        <w:rPr>
          <w:lang w:eastAsia="en-US"/>
        </w:rPr>
      </w:pPr>
      <w:r w:rsidRPr="002F5D64">
        <w:rPr>
          <w:lang w:eastAsia="en-US"/>
        </w:rPr>
        <w:t>The s</w:t>
      </w:r>
      <w:r w:rsidR="00125708" w:rsidRPr="002F5D64">
        <w:rPr>
          <w:lang w:eastAsia="en-US"/>
        </w:rPr>
        <w:t xml:space="preserve">ystematic error related to EIS spherical coverage </w:t>
      </w:r>
      <w:r w:rsidRPr="002F5D64">
        <w:t>on the DL power step size used for the EIS search and the number of measurement grid points [2]. Due to the latter, this uncertainty contribution does not describe an uncertainty for single EIS measurements and therefore the type of correlati</w:t>
      </w:r>
      <w:r>
        <w:t xml:space="preserve">on regarding different grid points is not applicable. </w:t>
      </w:r>
    </w:p>
    <w:p w14:paraId="0A6CB433" w14:textId="77777777" w:rsidR="00FD63EF" w:rsidRDefault="00FD63EF" w:rsidP="004D37F1">
      <w:pPr>
        <w:rPr>
          <w:lang w:eastAsia="en-US"/>
        </w:rPr>
      </w:pPr>
    </w:p>
    <w:p w14:paraId="0E671467" w14:textId="77777777" w:rsidR="00E512D5" w:rsidRPr="00E512D5" w:rsidRDefault="00E512D5" w:rsidP="005E31AA">
      <w:pPr>
        <w:rPr>
          <w:lang w:val="en-GB" w:eastAsia="en-US"/>
        </w:rPr>
      </w:pPr>
    </w:p>
    <w:p w14:paraId="01643976" w14:textId="5BDB7918" w:rsidR="00E512D5" w:rsidRDefault="004D37F1" w:rsidP="005E31AA">
      <w:pPr>
        <w:rPr>
          <w:b/>
          <w:lang w:eastAsia="en-US"/>
        </w:rPr>
      </w:pPr>
      <w:r w:rsidRPr="004D37F1">
        <w:rPr>
          <w:b/>
          <w:lang w:eastAsia="en-US"/>
        </w:rPr>
        <w:t>Proposal 1: Take the type of correlation</w:t>
      </w:r>
      <w:r>
        <w:rPr>
          <w:b/>
          <w:lang w:eastAsia="en-US"/>
        </w:rPr>
        <w:t xml:space="preserve"> of the MU contributors</w:t>
      </w:r>
      <w:r w:rsidR="00ED78C3">
        <w:rPr>
          <w:b/>
          <w:lang w:eastAsia="en-US"/>
        </w:rPr>
        <w:t xml:space="preserve"> shown in Table 1</w:t>
      </w:r>
      <w:r w:rsidRPr="004D37F1">
        <w:rPr>
          <w:b/>
          <w:lang w:eastAsia="en-US"/>
        </w:rPr>
        <w:t xml:space="preserve"> into account when determining the total MU of </w:t>
      </w:r>
      <w:r>
        <w:rPr>
          <w:b/>
          <w:lang w:eastAsia="en-US"/>
        </w:rPr>
        <w:t>EIRP and EIS spherical coverage</w:t>
      </w:r>
      <w:r w:rsidR="00836CE0">
        <w:rPr>
          <w:b/>
          <w:lang w:eastAsia="en-US"/>
        </w:rPr>
        <w:t xml:space="preserve"> test cases</w:t>
      </w:r>
      <w:r>
        <w:rPr>
          <w:b/>
          <w:lang w:eastAsia="en-US"/>
        </w:rPr>
        <w:t>.</w:t>
      </w:r>
      <w:r w:rsidRPr="004D37F1">
        <w:rPr>
          <w:b/>
          <w:lang w:eastAsia="en-US"/>
        </w:rPr>
        <w:t xml:space="preserve"> </w:t>
      </w:r>
    </w:p>
    <w:p w14:paraId="3A89BDBB" w14:textId="5E0646C9" w:rsidR="004D37F1" w:rsidRPr="004D37F1" w:rsidRDefault="004D37F1" w:rsidP="005E31AA">
      <w:pPr>
        <w:rPr>
          <w:b/>
          <w:lang w:eastAsia="en-US"/>
        </w:rPr>
      </w:pPr>
      <w:r>
        <w:rPr>
          <w:b/>
          <w:lang w:eastAsia="en-US"/>
        </w:rPr>
        <w:t>Observation 1: The amount of correlation for the correlated MU contributors is FFS.</w:t>
      </w:r>
    </w:p>
    <w:p w14:paraId="5F3C80D9" w14:textId="77777777" w:rsidR="00E512D5" w:rsidRDefault="00E512D5" w:rsidP="005E31AA">
      <w:pPr>
        <w:rPr>
          <w:lang w:eastAsia="en-US"/>
        </w:rPr>
      </w:pPr>
    </w:p>
    <w:bookmarkEnd w:id="0"/>
    <w:bookmarkEnd w:id="1"/>
    <w:p w14:paraId="7F705E55" w14:textId="656C3BCF" w:rsidR="00AA56D9" w:rsidRPr="00037AB8" w:rsidRDefault="00AA56D9" w:rsidP="00AA56D9">
      <w:pPr>
        <w:pStyle w:val="berschrift1"/>
        <w:rPr>
          <w:lang w:val="en-US"/>
        </w:rPr>
      </w:pPr>
      <w:r w:rsidRPr="00037AB8">
        <w:rPr>
          <w:lang w:val="en-US"/>
        </w:rPr>
        <w:tab/>
        <w:t>Conclusion</w:t>
      </w:r>
    </w:p>
    <w:p w14:paraId="043F6814" w14:textId="4319746D" w:rsidR="00AA56D9" w:rsidRDefault="00D00445" w:rsidP="00AA56D9">
      <w:pPr>
        <w:rPr>
          <w:lang w:eastAsia="en-US"/>
        </w:rPr>
      </w:pPr>
      <w:r w:rsidRPr="00037AB8">
        <w:rPr>
          <w:lang w:eastAsia="en-US"/>
        </w:rPr>
        <w:t xml:space="preserve">In summary, </w:t>
      </w:r>
      <w:r w:rsidR="00BB274E" w:rsidRPr="00037AB8">
        <w:rPr>
          <w:lang w:eastAsia="en-US"/>
        </w:rPr>
        <w:t xml:space="preserve">the </w:t>
      </w:r>
      <w:r w:rsidR="004D37F1">
        <w:rPr>
          <w:lang w:eastAsia="en-US"/>
        </w:rPr>
        <w:t>type of correlation for MU contributors of EIS and EIRP spherical coverage has been discussed.</w:t>
      </w:r>
    </w:p>
    <w:p w14:paraId="48C5828B" w14:textId="3D62088E" w:rsidR="004D37F1" w:rsidRDefault="004D37F1" w:rsidP="004D37F1">
      <w:pPr>
        <w:rPr>
          <w:b/>
          <w:lang w:eastAsia="en-US"/>
        </w:rPr>
      </w:pPr>
      <w:r w:rsidRPr="004D37F1">
        <w:rPr>
          <w:b/>
          <w:lang w:eastAsia="en-US"/>
        </w:rPr>
        <w:t>Proposal 1: Take the type of correlation</w:t>
      </w:r>
      <w:r>
        <w:rPr>
          <w:b/>
          <w:lang w:eastAsia="en-US"/>
        </w:rPr>
        <w:t xml:space="preserve"> of the MU contributors</w:t>
      </w:r>
      <w:r w:rsidRPr="004D37F1">
        <w:rPr>
          <w:b/>
          <w:lang w:eastAsia="en-US"/>
        </w:rPr>
        <w:t xml:space="preserve"> </w:t>
      </w:r>
      <w:r w:rsidR="00ED78C3">
        <w:rPr>
          <w:b/>
          <w:lang w:eastAsia="en-US"/>
        </w:rPr>
        <w:t xml:space="preserve">shown in Table 1 </w:t>
      </w:r>
      <w:r w:rsidRPr="004D37F1">
        <w:rPr>
          <w:b/>
          <w:lang w:eastAsia="en-US"/>
        </w:rPr>
        <w:t xml:space="preserve">into account when determining the total MU of </w:t>
      </w:r>
      <w:r>
        <w:rPr>
          <w:b/>
          <w:lang w:eastAsia="en-US"/>
        </w:rPr>
        <w:t>EIRP and EIS spherical coverage</w:t>
      </w:r>
      <w:r w:rsidR="00F700B9">
        <w:rPr>
          <w:b/>
          <w:lang w:eastAsia="en-US"/>
        </w:rPr>
        <w:t xml:space="preserve"> test cases</w:t>
      </w:r>
      <w:r>
        <w:rPr>
          <w:b/>
          <w:lang w:eastAsia="en-US"/>
        </w:rPr>
        <w:t>.</w:t>
      </w:r>
      <w:r w:rsidRPr="004D37F1">
        <w:rPr>
          <w:b/>
          <w:lang w:eastAsia="en-US"/>
        </w:rPr>
        <w:t xml:space="preserve"> </w:t>
      </w:r>
    </w:p>
    <w:p w14:paraId="5C2DE7A9" w14:textId="77777777" w:rsidR="004D37F1" w:rsidRPr="004D37F1" w:rsidRDefault="004D37F1" w:rsidP="004D37F1">
      <w:pPr>
        <w:rPr>
          <w:b/>
          <w:lang w:eastAsia="en-US"/>
        </w:rPr>
      </w:pPr>
      <w:r>
        <w:rPr>
          <w:b/>
          <w:lang w:eastAsia="en-US"/>
        </w:rPr>
        <w:t>Observation 1: The amount of correlation for the correlated MU contributors is FFS.</w:t>
      </w:r>
    </w:p>
    <w:p w14:paraId="0B2C4AC6" w14:textId="4895ED80" w:rsidR="00AF2B58" w:rsidRPr="00037AB8"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037AB8">
        <w:rPr>
          <w:rFonts w:cs="Arial"/>
          <w:lang w:val="en-US"/>
        </w:rPr>
        <w:t>References</w:t>
      </w:r>
    </w:p>
    <w:p w14:paraId="2AF5DD5C" w14:textId="60C40B73" w:rsidR="00CF1BD3" w:rsidRPr="00CF1BD3" w:rsidRDefault="00CF1BD3" w:rsidP="00D40AC7">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CF1BD3">
        <w:rPr>
          <w:rFonts w:asciiTheme="minorHAnsi" w:eastAsiaTheme="minorHAnsi" w:hAnsiTheme="minorHAnsi" w:cstheme="minorBidi"/>
          <w:sz w:val="20"/>
          <w:szCs w:val="20"/>
          <w:lang w:eastAsia="en-US"/>
        </w:rPr>
        <w:t xml:space="preserve">R5-193483, Discussion on TT and the impact on UE fail rate for EIRP CDF, </w:t>
      </w:r>
      <w:r w:rsidR="00D40AC7" w:rsidRPr="00D40AC7">
        <w:rPr>
          <w:rFonts w:asciiTheme="minorHAnsi" w:eastAsiaTheme="minorHAnsi" w:hAnsiTheme="minorHAnsi" w:cstheme="minorBidi"/>
          <w:sz w:val="20"/>
          <w:szCs w:val="20"/>
          <w:lang w:eastAsia="en-US"/>
        </w:rPr>
        <w:t>Ericsson, Telecom Italia, Orange</w:t>
      </w:r>
      <w:r w:rsidRPr="00CF1BD3">
        <w:rPr>
          <w:rFonts w:asciiTheme="minorHAnsi" w:eastAsiaTheme="minorHAnsi" w:hAnsiTheme="minorHAnsi" w:cstheme="minorBidi"/>
          <w:sz w:val="20"/>
          <w:szCs w:val="20"/>
          <w:lang w:eastAsia="en-US"/>
        </w:rPr>
        <w:t xml:space="preserve">, </w:t>
      </w:r>
      <w:r w:rsidRPr="00D40AC7">
        <w:rPr>
          <w:rFonts w:asciiTheme="minorHAnsi" w:eastAsiaTheme="minorHAnsi" w:hAnsiTheme="minorHAnsi" w:cstheme="minorBidi"/>
          <w:sz w:val="20"/>
          <w:szCs w:val="20"/>
          <w:lang w:eastAsia="en-US"/>
        </w:rPr>
        <w:t>3GPP TSG RAN</w:t>
      </w:r>
      <w:r w:rsidR="00A226C0" w:rsidRPr="00D40AC7">
        <w:rPr>
          <w:rFonts w:asciiTheme="minorHAnsi" w:eastAsiaTheme="minorHAnsi" w:hAnsiTheme="minorHAnsi" w:cstheme="minorBidi"/>
          <w:sz w:val="20"/>
          <w:szCs w:val="20"/>
          <w:lang w:eastAsia="en-US"/>
        </w:rPr>
        <w:t xml:space="preserve"> WG</w:t>
      </w:r>
      <w:r w:rsidRPr="00D40AC7">
        <w:rPr>
          <w:rFonts w:asciiTheme="minorHAnsi" w:eastAsiaTheme="minorHAnsi" w:hAnsiTheme="minorHAnsi" w:cstheme="minorBidi"/>
          <w:sz w:val="20"/>
          <w:szCs w:val="20"/>
          <w:lang w:eastAsia="en-US"/>
        </w:rPr>
        <w:t>5</w:t>
      </w:r>
      <w:bookmarkStart w:id="6" w:name="_GoBack"/>
      <w:bookmarkEnd w:id="6"/>
      <w:r w:rsidRPr="00D40AC7">
        <w:rPr>
          <w:rFonts w:asciiTheme="minorHAnsi" w:eastAsiaTheme="minorHAnsi" w:hAnsiTheme="minorHAnsi" w:cstheme="minorBidi"/>
          <w:sz w:val="20"/>
          <w:szCs w:val="20"/>
          <w:lang w:eastAsia="en-US"/>
        </w:rPr>
        <w:t xml:space="preserve"> #5-5G-NR Adhoc, April 2019</w:t>
      </w:r>
    </w:p>
    <w:p w14:paraId="45B515AA" w14:textId="17F5E70B" w:rsidR="00BB274E" w:rsidRDefault="00BB274E"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w:t>
      </w:r>
      <w:r w:rsidR="00834163">
        <w:rPr>
          <w:rFonts w:asciiTheme="minorHAnsi" w:eastAsiaTheme="minorHAnsi" w:hAnsiTheme="minorHAnsi" w:cstheme="minorBidi"/>
          <w:sz w:val="20"/>
          <w:szCs w:val="20"/>
          <w:lang w:eastAsia="en-US"/>
        </w:rPr>
        <w:t>R</w:t>
      </w:r>
      <w:r w:rsidR="005E31AA" w:rsidRPr="00037AB8">
        <w:rPr>
          <w:rFonts w:asciiTheme="minorHAnsi" w:eastAsiaTheme="minorHAnsi" w:hAnsiTheme="minorHAnsi" w:cstheme="minorBidi"/>
          <w:sz w:val="20"/>
          <w:szCs w:val="20"/>
          <w:lang w:eastAsia="en-US"/>
        </w:rPr>
        <w:t xml:space="preserve"> </w:t>
      </w:r>
      <w:r w:rsidRPr="00037AB8">
        <w:rPr>
          <w:rFonts w:asciiTheme="minorHAnsi" w:eastAsiaTheme="minorHAnsi" w:hAnsiTheme="minorHAnsi" w:cstheme="minorBidi"/>
          <w:sz w:val="20"/>
          <w:szCs w:val="20"/>
          <w:lang w:eastAsia="en-US"/>
        </w:rPr>
        <w:t>38.</w:t>
      </w:r>
      <w:r w:rsidR="004D37F1">
        <w:rPr>
          <w:rFonts w:asciiTheme="minorHAnsi" w:eastAsiaTheme="minorHAnsi" w:hAnsiTheme="minorHAnsi" w:cstheme="minorBidi"/>
          <w:sz w:val="20"/>
          <w:szCs w:val="20"/>
          <w:lang w:eastAsia="en-US"/>
        </w:rPr>
        <w:t>903</w:t>
      </w:r>
      <w:r w:rsidRPr="00037AB8">
        <w:rPr>
          <w:rFonts w:asciiTheme="minorHAnsi" w:eastAsiaTheme="minorHAnsi" w:hAnsiTheme="minorHAnsi" w:cstheme="minorBidi"/>
          <w:sz w:val="20"/>
          <w:szCs w:val="20"/>
          <w:lang w:eastAsia="en-US"/>
        </w:rPr>
        <w:t>, V15.</w:t>
      </w:r>
      <w:r w:rsidR="004D37F1">
        <w:rPr>
          <w:rFonts w:asciiTheme="minorHAnsi" w:eastAsiaTheme="minorHAnsi" w:hAnsiTheme="minorHAnsi" w:cstheme="minorBidi"/>
          <w:sz w:val="20"/>
          <w:szCs w:val="20"/>
          <w:lang w:eastAsia="en-US"/>
        </w:rPr>
        <w:t>2.0, 3GPP TSG RAN WG5</w:t>
      </w:r>
      <w:r w:rsidRPr="00037AB8">
        <w:rPr>
          <w:rFonts w:asciiTheme="minorHAnsi" w:eastAsiaTheme="minorHAnsi" w:hAnsiTheme="minorHAnsi" w:cstheme="minorBidi"/>
          <w:sz w:val="20"/>
          <w:szCs w:val="20"/>
          <w:lang w:eastAsia="en-US"/>
        </w:rPr>
        <w:t xml:space="preserve">, </w:t>
      </w:r>
      <w:r w:rsidR="004D37F1">
        <w:rPr>
          <w:rFonts w:asciiTheme="minorHAnsi" w:eastAsiaTheme="minorHAnsi" w:hAnsiTheme="minorHAnsi" w:cstheme="minorBidi"/>
          <w:sz w:val="20"/>
          <w:szCs w:val="20"/>
          <w:lang w:eastAsia="en-US"/>
        </w:rPr>
        <w:t>March 2019</w:t>
      </w:r>
      <w:bookmarkEnd w:id="2"/>
      <w:bookmarkEnd w:id="3"/>
      <w:bookmarkEnd w:id="4"/>
      <w:bookmarkEnd w:id="5"/>
    </w:p>
    <w:p w14:paraId="4FAD4F90" w14:textId="34AFCB37" w:rsidR="00DA3D17" w:rsidRPr="00037AB8" w:rsidRDefault="00DA3D17" w:rsidP="00DA3D17">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DA3D17">
        <w:rPr>
          <w:rFonts w:asciiTheme="minorHAnsi" w:eastAsiaTheme="minorHAnsi" w:hAnsiTheme="minorHAnsi" w:cstheme="minorBidi"/>
          <w:sz w:val="20"/>
          <w:szCs w:val="20"/>
          <w:lang w:eastAsia="en-US"/>
        </w:rPr>
        <w:t xml:space="preserve">R5-191615, On amplifiers uncertainty, Keysight Technologies, </w:t>
      </w:r>
      <w:r w:rsidRPr="00D40AC7">
        <w:rPr>
          <w:rFonts w:asciiTheme="minorHAnsi" w:eastAsiaTheme="minorHAnsi" w:hAnsiTheme="minorHAnsi" w:cstheme="minorBidi"/>
          <w:sz w:val="20"/>
          <w:szCs w:val="20"/>
          <w:lang w:eastAsia="en-US"/>
        </w:rPr>
        <w:t>3GPP TSG RAN WG5</w:t>
      </w:r>
      <w:r>
        <w:rPr>
          <w:rFonts w:asciiTheme="minorHAnsi" w:eastAsiaTheme="minorHAnsi" w:hAnsiTheme="minorHAnsi" w:cstheme="minorBidi"/>
          <w:sz w:val="20"/>
          <w:szCs w:val="20"/>
          <w:lang w:eastAsia="en-US"/>
        </w:rPr>
        <w:t xml:space="preserve"> Meeting #82, February 2019</w:t>
      </w:r>
    </w:p>
    <w:sectPr w:rsidR="00DA3D17" w:rsidRPr="00037AB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8D983" w14:textId="77777777" w:rsidR="00B012FF" w:rsidRDefault="00B012FF" w:rsidP="00371D7D">
      <w:r>
        <w:separator/>
      </w:r>
    </w:p>
  </w:endnote>
  <w:endnote w:type="continuationSeparator" w:id="0">
    <w:p w14:paraId="30D9BADD" w14:textId="77777777" w:rsidR="00B012FF" w:rsidRDefault="00B012F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383F6F4"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9713E">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2B37" w14:textId="77777777" w:rsidR="00B012FF" w:rsidRDefault="00B012FF" w:rsidP="00371D7D">
      <w:r>
        <w:separator/>
      </w:r>
    </w:p>
  </w:footnote>
  <w:footnote w:type="continuationSeparator" w:id="0">
    <w:p w14:paraId="42FCB3CA" w14:textId="77777777" w:rsidR="00B012FF" w:rsidRDefault="00B012F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26AE7"/>
    <w:rsid w:val="000304B0"/>
    <w:rsid w:val="00030A7F"/>
    <w:rsid w:val="00030EFF"/>
    <w:rsid w:val="00032AC4"/>
    <w:rsid w:val="000357C4"/>
    <w:rsid w:val="00036082"/>
    <w:rsid w:val="00036A64"/>
    <w:rsid w:val="00037AB8"/>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0D6A"/>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5708"/>
    <w:rsid w:val="00126CE6"/>
    <w:rsid w:val="00132BDD"/>
    <w:rsid w:val="001339FF"/>
    <w:rsid w:val="001378A7"/>
    <w:rsid w:val="0014085E"/>
    <w:rsid w:val="00142732"/>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50D6"/>
    <w:rsid w:val="00197F8E"/>
    <w:rsid w:val="001A042A"/>
    <w:rsid w:val="001A2E0D"/>
    <w:rsid w:val="001B0670"/>
    <w:rsid w:val="001B0742"/>
    <w:rsid w:val="001B137F"/>
    <w:rsid w:val="001B2191"/>
    <w:rsid w:val="001B3AD9"/>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6DC9"/>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295C"/>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5D64"/>
    <w:rsid w:val="002F6CC0"/>
    <w:rsid w:val="003013B7"/>
    <w:rsid w:val="00305C89"/>
    <w:rsid w:val="00305D94"/>
    <w:rsid w:val="00306245"/>
    <w:rsid w:val="003112E8"/>
    <w:rsid w:val="0031299F"/>
    <w:rsid w:val="00312CFD"/>
    <w:rsid w:val="00315F9F"/>
    <w:rsid w:val="00316376"/>
    <w:rsid w:val="00316F3F"/>
    <w:rsid w:val="003200D8"/>
    <w:rsid w:val="00320EFD"/>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4D92"/>
    <w:rsid w:val="00397E2F"/>
    <w:rsid w:val="003A16D1"/>
    <w:rsid w:val="003A1D27"/>
    <w:rsid w:val="003A2E3B"/>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3F7FB7"/>
    <w:rsid w:val="004002C9"/>
    <w:rsid w:val="004033E9"/>
    <w:rsid w:val="004120AE"/>
    <w:rsid w:val="004137F2"/>
    <w:rsid w:val="004149E9"/>
    <w:rsid w:val="00420D58"/>
    <w:rsid w:val="00423201"/>
    <w:rsid w:val="004238C0"/>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524"/>
    <w:rsid w:val="00475793"/>
    <w:rsid w:val="00477362"/>
    <w:rsid w:val="00477BB8"/>
    <w:rsid w:val="00480E62"/>
    <w:rsid w:val="00481B3C"/>
    <w:rsid w:val="004858E1"/>
    <w:rsid w:val="0048673D"/>
    <w:rsid w:val="00487AF1"/>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DA4"/>
    <w:rsid w:val="004C0EA3"/>
    <w:rsid w:val="004C6EB0"/>
    <w:rsid w:val="004D0D9B"/>
    <w:rsid w:val="004D1D11"/>
    <w:rsid w:val="004D2DCF"/>
    <w:rsid w:val="004D304D"/>
    <w:rsid w:val="004D37F1"/>
    <w:rsid w:val="004D54FF"/>
    <w:rsid w:val="004D74F3"/>
    <w:rsid w:val="004E02C2"/>
    <w:rsid w:val="004E1ED2"/>
    <w:rsid w:val="004E2925"/>
    <w:rsid w:val="004E3358"/>
    <w:rsid w:val="004E3BCC"/>
    <w:rsid w:val="004E4518"/>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540"/>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0F47"/>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0DD"/>
    <w:rsid w:val="005D36C5"/>
    <w:rsid w:val="005D37FD"/>
    <w:rsid w:val="005D3C2A"/>
    <w:rsid w:val="005D4744"/>
    <w:rsid w:val="005D4B7F"/>
    <w:rsid w:val="005D5F80"/>
    <w:rsid w:val="005E31AA"/>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2239"/>
    <w:rsid w:val="0062354F"/>
    <w:rsid w:val="00626288"/>
    <w:rsid w:val="00627053"/>
    <w:rsid w:val="00630334"/>
    <w:rsid w:val="00632987"/>
    <w:rsid w:val="0063332F"/>
    <w:rsid w:val="00633773"/>
    <w:rsid w:val="0063395B"/>
    <w:rsid w:val="00634D07"/>
    <w:rsid w:val="00635940"/>
    <w:rsid w:val="006366AD"/>
    <w:rsid w:val="00640E01"/>
    <w:rsid w:val="00641EC6"/>
    <w:rsid w:val="00645237"/>
    <w:rsid w:val="006466C9"/>
    <w:rsid w:val="00647310"/>
    <w:rsid w:val="006476FB"/>
    <w:rsid w:val="00654178"/>
    <w:rsid w:val="0066196E"/>
    <w:rsid w:val="00664F1A"/>
    <w:rsid w:val="00667A9C"/>
    <w:rsid w:val="00670CFC"/>
    <w:rsid w:val="00670DF8"/>
    <w:rsid w:val="0067274C"/>
    <w:rsid w:val="00674D96"/>
    <w:rsid w:val="00675624"/>
    <w:rsid w:val="00680FDD"/>
    <w:rsid w:val="00682781"/>
    <w:rsid w:val="0068305A"/>
    <w:rsid w:val="00683E9D"/>
    <w:rsid w:val="00685361"/>
    <w:rsid w:val="00690B06"/>
    <w:rsid w:val="00692F61"/>
    <w:rsid w:val="00693369"/>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E0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1F0E"/>
    <w:rsid w:val="00704881"/>
    <w:rsid w:val="00705286"/>
    <w:rsid w:val="00706CB9"/>
    <w:rsid w:val="00707FFC"/>
    <w:rsid w:val="00712BF6"/>
    <w:rsid w:val="00712C12"/>
    <w:rsid w:val="007132D5"/>
    <w:rsid w:val="00713351"/>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4C82"/>
    <w:rsid w:val="00765F55"/>
    <w:rsid w:val="007706D0"/>
    <w:rsid w:val="00773BDA"/>
    <w:rsid w:val="00773C96"/>
    <w:rsid w:val="00773DCA"/>
    <w:rsid w:val="007742E7"/>
    <w:rsid w:val="00776D6B"/>
    <w:rsid w:val="00780B7D"/>
    <w:rsid w:val="00780E10"/>
    <w:rsid w:val="007820D2"/>
    <w:rsid w:val="007827F7"/>
    <w:rsid w:val="007842C7"/>
    <w:rsid w:val="007927C1"/>
    <w:rsid w:val="00793EA4"/>
    <w:rsid w:val="007944C3"/>
    <w:rsid w:val="00795FCE"/>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2D3F"/>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4163"/>
    <w:rsid w:val="0083554F"/>
    <w:rsid w:val="00836315"/>
    <w:rsid w:val="00836CE0"/>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41D6"/>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47DB"/>
    <w:rsid w:val="00916784"/>
    <w:rsid w:val="00916934"/>
    <w:rsid w:val="00917E2E"/>
    <w:rsid w:val="00920F66"/>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7B91"/>
    <w:rsid w:val="00950962"/>
    <w:rsid w:val="00952B8A"/>
    <w:rsid w:val="0095468A"/>
    <w:rsid w:val="0095562A"/>
    <w:rsid w:val="00962E59"/>
    <w:rsid w:val="00963C9B"/>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97FE5"/>
    <w:rsid w:val="009A1270"/>
    <w:rsid w:val="009A246E"/>
    <w:rsid w:val="009A47BB"/>
    <w:rsid w:val="009B1044"/>
    <w:rsid w:val="009B225E"/>
    <w:rsid w:val="009B26CA"/>
    <w:rsid w:val="009B3EA0"/>
    <w:rsid w:val="009C0CB9"/>
    <w:rsid w:val="009C2950"/>
    <w:rsid w:val="009C4B66"/>
    <w:rsid w:val="009C51E1"/>
    <w:rsid w:val="009C536C"/>
    <w:rsid w:val="009C5C15"/>
    <w:rsid w:val="009C6FFB"/>
    <w:rsid w:val="009D2231"/>
    <w:rsid w:val="009D2BA6"/>
    <w:rsid w:val="009D3030"/>
    <w:rsid w:val="009D35E8"/>
    <w:rsid w:val="009D3C74"/>
    <w:rsid w:val="009D52EB"/>
    <w:rsid w:val="009D580B"/>
    <w:rsid w:val="009D6EF8"/>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26C0"/>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1918"/>
    <w:rsid w:val="00A7325E"/>
    <w:rsid w:val="00A73DB3"/>
    <w:rsid w:val="00A73DEC"/>
    <w:rsid w:val="00A76246"/>
    <w:rsid w:val="00A76DBE"/>
    <w:rsid w:val="00A76DEB"/>
    <w:rsid w:val="00A777EC"/>
    <w:rsid w:val="00A802ED"/>
    <w:rsid w:val="00A8281C"/>
    <w:rsid w:val="00A8311E"/>
    <w:rsid w:val="00A83A48"/>
    <w:rsid w:val="00A87C7B"/>
    <w:rsid w:val="00A91B6E"/>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12FF"/>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418C"/>
    <w:rsid w:val="00B4703A"/>
    <w:rsid w:val="00B50A51"/>
    <w:rsid w:val="00B548F0"/>
    <w:rsid w:val="00B55C47"/>
    <w:rsid w:val="00B57FE5"/>
    <w:rsid w:val="00B60110"/>
    <w:rsid w:val="00B61206"/>
    <w:rsid w:val="00B618F7"/>
    <w:rsid w:val="00B6395C"/>
    <w:rsid w:val="00B65660"/>
    <w:rsid w:val="00B65A28"/>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74E"/>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55A2"/>
    <w:rsid w:val="00BD6319"/>
    <w:rsid w:val="00BD73CC"/>
    <w:rsid w:val="00BD79E1"/>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47C1B"/>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13E"/>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1BD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0AC7"/>
    <w:rsid w:val="00D424E3"/>
    <w:rsid w:val="00D42662"/>
    <w:rsid w:val="00D42AF3"/>
    <w:rsid w:val="00D444AE"/>
    <w:rsid w:val="00D45BF1"/>
    <w:rsid w:val="00D4657F"/>
    <w:rsid w:val="00D512B6"/>
    <w:rsid w:val="00D513F4"/>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3480"/>
    <w:rsid w:val="00DA3D17"/>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2D"/>
    <w:rsid w:val="00DD1B9D"/>
    <w:rsid w:val="00DD524F"/>
    <w:rsid w:val="00DD6E41"/>
    <w:rsid w:val="00DD74FF"/>
    <w:rsid w:val="00DE3025"/>
    <w:rsid w:val="00DE4E25"/>
    <w:rsid w:val="00DE6819"/>
    <w:rsid w:val="00DE6CE9"/>
    <w:rsid w:val="00DF11A3"/>
    <w:rsid w:val="00DF19E8"/>
    <w:rsid w:val="00DF443F"/>
    <w:rsid w:val="00DF5A00"/>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0DA6"/>
    <w:rsid w:val="00E32C7A"/>
    <w:rsid w:val="00E33028"/>
    <w:rsid w:val="00E34070"/>
    <w:rsid w:val="00E35411"/>
    <w:rsid w:val="00E35ACC"/>
    <w:rsid w:val="00E37E67"/>
    <w:rsid w:val="00E4048A"/>
    <w:rsid w:val="00E4082E"/>
    <w:rsid w:val="00E408CF"/>
    <w:rsid w:val="00E41569"/>
    <w:rsid w:val="00E41929"/>
    <w:rsid w:val="00E42128"/>
    <w:rsid w:val="00E430A2"/>
    <w:rsid w:val="00E446E8"/>
    <w:rsid w:val="00E45AA7"/>
    <w:rsid w:val="00E50120"/>
    <w:rsid w:val="00E512D5"/>
    <w:rsid w:val="00E51BAD"/>
    <w:rsid w:val="00E52860"/>
    <w:rsid w:val="00E52D1B"/>
    <w:rsid w:val="00E5457D"/>
    <w:rsid w:val="00E56502"/>
    <w:rsid w:val="00E617F3"/>
    <w:rsid w:val="00E61903"/>
    <w:rsid w:val="00E65164"/>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D78C3"/>
    <w:rsid w:val="00EE0AC3"/>
    <w:rsid w:val="00EE0D98"/>
    <w:rsid w:val="00EE17A9"/>
    <w:rsid w:val="00EE17D7"/>
    <w:rsid w:val="00EE2405"/>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07B2"/>
    <w:rsid w:val="00F12AF0"/>
    <w:rsid w:val="00F152C6"/>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00B9"/>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3EF"/>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ACBF7-F8D4-4BF6-9D67-67646322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4954</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2019-04-25T14:47:00Z</dcterms:created>
  <dcterms:modified xsi:type="dcterms:W3CDTF">2019-05-03T20:31:00Z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